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8D" w:rsidRDefault="00AC338D">
      <w:pPr>
        <w:pStyle w:val="Zhlav"/>
        <w:tabs>
          <w:tab w:val="left" w:pos="3402"/>
        </w:tabs>
      </w:pPr>
    </w:p>
    <w:tbl>
      <w:tblPr>
        <w:tblpPr w:leftFromText="141" w:rightFromText="141" w:vertAnchor="page" w:horzAnchor="margin" w:tblpY="1625"/>
        <w:tblW w:w="5000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709"/>
        <w:gridCol w:w="2552"/>
        <w:gridCol w:w="567"/>
        <w:gridCol w:w="1912"/>
      </w:tblGrid>
      <w:tr w:rsidR="00AC338D">
        <w:trPr>
          <w:cantSplit/>
          <w:trHeight w:val="846"/>
        </w:trPr>
        <w:tc>
          <w:tcPr>
            <w:tcW w:w="1884" w:type="pct"/>
            <w:vMerge w:val="restart"/>
            <w:vAlign w:val="center"/>
          </w:tcPr>
          <w:p w:rsidR="00AC338D" w:rsidRDefault="00AC338D">
            <w:pPr>
              <w:pStyle w:val="Nadpis4"/>
              <w:jc w:val="left"/>
              <w:rPr>
                <w:rFonts w:ascii="Times New Roman" w:hAnsi="Times New Roman"/>
                <w:sz w:val="56"/>
              </w:rPr>
            </w:pPr>
          </w:p>
        </w:tc>
        <w:tc>
          <w:tcPr>
            <w:tcW w:w="385" w:type="pct"/>
          </w:tcPr>
          <w:p w:rsidR="00AC338D" w:rsidRDefault="00AC338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385" w:type="pct"/>
            <w:vAlign w:val="center"/>
          </w:tcPr>
          <w:p w:rsidR="00AC338D" w:rsidRDefault="00AC338D">
            <w:pPr>
              <w:pStyle w:val="Zhlav"/>
            </w:pPr>
          </w:p>
        </w:tc>
        <w:tc>
          <w:tcPr>
            <w:tcW w:w="308" w:type="pct"/>
          </w:tcPr>
          <w:p w:rsidR="00AC338D" w:rsidRDefault="00AC338D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1038" w:type="pct"/>
            <w:vAlign w:val="center"/>
          </w:tcPr>
          <w:p w:rsidR="00AC338D" w:rsidRDefault="00AC338D">
            <w:pPr>
              <w:pStyle w:val="Zhlav"/>
            </w:pPr>
          </w:p>
        </w:tc>
      </w:tr>
      <w:tr w:rsidR="00AC338D">
        <w:trPr>
          <w:cantSplit/>
          <w:trHeight w:val="349"/>
        </w:trPr>
        <w:tc>
          <w:tcPr>
            <w:tcW w:w="1884" w:type="pct"/>
            <w:vMerge/>
            <w:vAlign w:val="center"/>
          </w:tcPr>
          <w:p w:rsidR="00AC338D" w:rsidRDefault="00AC338D">
            <w:pPr>
              <w:pStyle w:val="Nadpis4"/>
              <w:spacing w:line="204" w:lineRule="auto"/>
              <w:jc w:val="left"/>
              <w:rPr>
                <w:rFonts w:ascii="Palace Script MT" w:hAnsi="Palace Script MT"/>
                <w:sz w:val="60"/>
              </w:rPr>
            </w:pPr>
          </w:p>
        </w:tc>
        <w:tc>
          <w:tcPr>
            <w:tcW w:w="385" w:type="pct"/>
            <w:vAlign w:val="center"/>
          </w:tcPr>
          <w:p w:rsidR="00AC338D" w:rsidRDefault="00AC338D">
            <w:pPr>
              <w:pStyle w:val="Zhlav"/>
              <w:rPr>
                <w:rFonts w:ascii="Wingdings" w:hAnsi="Wingdings"/>
              </w:rPr>
            </w:pPr>
          </w:p>
        </w:tc>
        <w:tc>
          <w:tcPr>
            <w:tcW w:w="1385" w:type="pct"/>
            <w:vAlign w:val="center"/>
          </w:tcPr>
          <w:p w:rsidR="00AC338D" w:rsidRDefault="00AC338D" w:rsidP="00027E75">
            <w:pPr>
              <w:pStyle w:val="Zhlav"/>
            </w:pPr>
          </w:p>
        </w:tc>
        <w:tc>
          <w:tcPr>
            <w:tcW w:w="308" w:type="pct"/>
          </w:tcPr>
          <w:p w:rsidR="00AC338D" w:rsidRDefault="00AC338D"/>
        </w:tc>
        <w:tc>
          <w:tcPr>
            <w:tcW w:w="1038" w:type="pct"/>
            <w:vAlign w:val="center"/>
          </w:tcPr>
          <w:p w:rsidR="00AC338D" w:rsidRDefault="00AC338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</w:p>
        </w:tc>
      </w:tr>
    </w:tbl>
    <w:p w:rsidR="00AC338D" w:rsidRDefault="00AC338D">
      <w:pPr>
        <w:pStyle w:val="Podtitul"/>
      </w:pPr>
    </w:p>
    <w:p w:rsidR="00AC338D" w:rsidRDefault="00AC338D">
      <w:pPr>
        <w:pStyle w:val="Podtitul"/>
      </w:pPr>
      <w:r>
        <w:t>Postup</w:t>
      </w:r>
    </w:p>
    <w:p w:rsidR="00AC338D" w:rsidRDefault="00AC338D">
      <w:pPr>
        <w:jc w:val="both"/>
        <w:rPr>
          <w:b/>
          <w:sz w:val="26"/>
        </w:rPr>
      </w:pPr>
    </w:p>
    <w:p w:rsidR="00AC338D" w:rsidRDefault="00AC338D">
      <w:pPr>
        <w:jc w:val="both"/>
        <w:rPr>
          <w:b/>
          <w:sz w:val="26"/>
        </w:rPr>
      </w:pPr>
      <w:r>
        <w:rPr>
          <w:b/>
          <w:sz w:val="26"/>
        </w:rPr>
        <w:t>při vyřizování žádostí o poskytnutí informace stanovený zákonem č. 106/1999 Sb.</w:t>
      </w:r>
      <w:r w:rsidR="00D44FB0">
        <w:rPr>
          <w:b/>
          <w:sz w:val="26"/>
        </w:rPr>
        <w:t>, o svobodném přístupu k informacím, dle platných znění</w:t>
      </w:r>
    </w:p>
    <w:p w:rsidR="00AC338D" w:rsidRDefault="00AC338D">
      <w:pPr>
        <w:jc w:val="both"/>
        <w:rPr>
          <w:sz w:val="28"/>
        </w:rPr>
      </w:pPr>
    </w:p>
    <w:p w:rsidR="00AC338D" w:rsidRDefault="00AC338D">
      <w:pPr>
        <w:pStyle w:val="Nadpis1"/>
        <w:jc w:val="center"/>
      </w:pPr>
    </w:p>
    <w:p w:rsidR="00AC338D" w:rsidRDefault="00AC338D">
      <w:pPr>
        <w:pStyle w:val="Nadpis1"/>
        <w:jc w:val="center"/>
      </w:pPr>
      <w:r>
        <w:t xml:space="preserve">I. </w:t>
      </w:r>
      <w:r w:rsidR="005676E5">
        <w:t>Žádost o poskytnutí informace § 13</w:t>
      </w:r>
      <w:r w:rsidR="007E024F">
        <w:t xml:space="preserve">, § 14 </w:t>
      </w:r>
    </w:p>
    <w:p w:rsidR="00AC338D" w:rsidRDefault="00AC338D">
      <w:pPr>
        <w:spacing w:before="60"/>
        <w:jc w:val="both"/>
        <w:rPr>
          <w:sz w:val="28"/>
        </w:rPr>
      </w:pPr>
    </w:p>
    <w:p w:rsidR="00AC338D" w:rsidRDefault="00AC338D">
      <w:pPr>
        <w:numPr>
          <w:ilvl w:val="0"/>
          <w:numId w:val="5"/>
        </w:numPr>
        <w:spacing w:before="60"/>
        <w:jc w:val="both"/>
        <w:rPr>
          <w:sz w:val="28"/>
        </w:rPr>
      </w:pPr>
      <w:r>
        <w:rPr>
          <w:sz w:val="28"/>
        </w:rPr>
        <w:t xml:space="preserve">Žádost o poskytnutí informace se podává ústně nebo písemně, a to i prostřednictvím </w:t>
      </w:r>
      <w:r w:rsidR="00ED1C2B">
        <w:rPr>
          <w:sz w:val="28"/>
        </w:rPr>
        <w:t>sítě nebo služby elektronických komunikací</w:t>
      </w:r>
      <w:r w:rsidR="00D44FB0">
        <w:rPr>
          <w:sz w:val="28"/>
        </w:rPr>
        <w:t xml:space="preserve"> (www.zeva.cz)</w:t>
      </w:r>
      <w:r>
        <w:rPr>
          <w:sz w:val="28"/>
        </w:rPr>
        <w:t>.</w:t>
      </w:r>
    </w:p>
    <w:p w:rsidR="00AC338D" w:rsidRDefault="00AC338D">
      <w:pPr>
        <w:pStyle w:val="Zkladntext3"/>
        <w:numPr>
          <w:ilvl w:val="0"/>
          <w:numId w:val="5"/>
        </w:numPr>
        <w:spacing w:before="60"/>
      </w:pPr>
      <w:r>
        <w:t xml:space="preserve">Není-li žadateli na ústně podanou žádost informace poskytnuta </w:t>
      </w:r>
      <w:r w:rsidR="008D4359">
        <w:t>a</w:t>
      </w:r>
      <w:r w:rsidR="00ED1C2B">
        <w:t>n</w:t>
      </w:r>
      <w:r>
        <w:t>ebo nepovažuje-li žadatel informaci poskytnutou na ústně podanou žádost za dostačující, je třeba podat žádost písemně.</w:t>
      </w:r>
    </w:p>
    <w:p w:rsidR="00D44FB0" w:rsidRDefault="00D44FB0">
      <w:pPr>
        <w:pStyle w:val="Zkladntext3"/>
        <w:numPr>
          <w:ilvl w:val="0"/>
          <w:numId w:val="5"/>
        </w:numPr>
        <w:spacing w:before="60"/>
      </w:pPr>
      <w:r>
        <w:t>Ustanovení § 14 až § 16 a § 18 platí pouze pro žádosti podané písemně.</w:t>
      </w:r>
    </w:p>
    <w:p w:rsidR="008D4359" w:rsidRDefault="008D4359">
      <w:pPr>
        <w:pStyle w:val="Zkladntext3"/>
        <w:numPr>
          <w:ilvl w:val="0"/>
          <w:numId w:val="5"/>
        </w:numPr>
        <w:spacing w:before="60"/>
      </w:pPr>
      <w:r>
        <w:t xml:space="preserve">Ze žádosti musí být zřejmé, kterému povinnému subjektu je určena, a že se žadatel domáhá poskytnutí informace ve smyslu tohoto zákona. Fyzická osoba uvede v žádosti jméno, příjmení, datum narození, adresu místa trvalého pobytu nebo, není -li přihlášena k trvalému pobytu, adresu bydliště a adresu pro doručování, liší - li se od adresy místa trvalého pobytu nebo bydliště. Právnická osoba uvede název, identifikační číslo, adresu sídla pro doručování, liší-li se od adresy sídla. Adresou pro doručování se rozumí též elektronická adresa.  </w:t>
      </w:r>
    </w:p>
    <w:p w:rsidR="00AC338D" w:rsidRDefault="00AC338D">
      <w:pPr>
        <w:numPr>
          <w:ilvl w:val="0"/>
          <w:numId w:val="5"/>
        </w:numPr>
        <w:spacing w:before="60"/>
        <w:jc w:val="both"/>
        <w:rPr>
          <w:sz w:val="28"/>
        </w:rPr>
      </w:pPr>
      <w:r>
        <w:rPr>
          <w:sz w:val="28"/>
        </w:rPr>
        <w:t>Písemnou žádost, která musí obsahovat:</w:t>
      </w:r>
    </w:p>
    <w:p w:rsidR="00AC338D" w:rsidRDefault="00AC338D">
      <w:pPr>
        <w:pStyle w:val="Seznam4"/>
        <w:numPr>
          <w:ilvl w:val="0"/>
          <w:numId w:val="19"/>
        </w:numPr>
        <w:rPr>
          <w:sz w:val="28"/>
        </w:rPr>
      </w:pPr>
      <w:r>
        <w:rPr>
          <w:sz w:val="28"/>
        </w:rPr>
        <w:t>datum doručení žádosti, věc, číslo jednací</w:t>
      </w:r>
    </w:p>
    <w:p w:rsidR="00AC338D" w:rsidRDefault="00AC338D">
      <w:pPr>
        <w:pStyle w:val="Seznam4"/>
        <w:numPr>
          <w:ilvl w:val="0"/>
          <w:numId w:val="19"/>
        </w:numPr>
        <w:rPr>
          <w:sz w:val="28"/>
        </w:rPr>
      </w:pPr>
      <w:r>
        <w:rPr>
          <w:sz w:val="28"/>
        </w:rPr>
        <w:t>jméno příjmení</w:t>
      </w:r>
      <w:r w:rsidR="00ED1C2B">
        <w:rPr>
          <w:sz w:val="28"/>
        </w:rPr>
        <w:t>, datum narození</w:t>
      </w:r>
      <w:r>
        <w:rPr>
          <w:sz w:val="28"/>
        </w:rPr>
        <w:t xml:space="preserve"> žadatele (název a sídlo), spojení na žadatele</w:t>
      </w:r>
    </w:p>
    <w:p w:rsidR="00AC338D" w:rsidRDefault="00AC338D">
      <w:pPr>
        <w:pStyle w:val="Seznam4"/>
        <w:numPr>
          <w:ilvl w:val="0"/>
          <w:numId w:val="19"/>
        </w:numPr>
        <w:rPr>
          <w:sz w:val="28"/>
        </w:rPr>
      </w:pPr>
      <w:r>
        <w:rPr>
          <w:sz w:val="28"/>
        </w:rPr>
        <w:t>způsob, jakým bylo ve věci postupováno a jak byla žádost vyřízena</w:t>
      </w:r>
    </w:p>
    <w:p w:rsidR="00027E75" w:rsidRPr="008329B2" w:rsidRDefault="00AC338D" w:rsidP="00027E75">
      <w:pPr>
        <w:pStyle w:val="Seznam4"/>
        <w:numPr>
          <w:ilvl w:val="0"/>
          <w:numId w:val="19"/>
        </w:numPr>
        <w:rPr>
          <w:sz w:val="28"/>
        </w:rPr>
      </w:pPr>
      <w:r w:rsidRPr="008329B2">
        <w:rPr>
          <w:sz w:val="28"/>
        </w:rPr>
        <w:t>datum vyřízení žádosti</w:t>
      </w:r>
    </w:p>
    <w:p w:rsidR="00AC338D" w:rsidRDefault="00AC338D">
      <w:pPr>
        <w:jc w:val="both"/>
        <w:rPr>
          <w:sz w:val="28"/>
        </w:rPr>
      </w:pPr>
      <w:r>
        <w:rPr>
          <w:sz w:val="28"/>
        </w:rPr>
        <w:t>eviduje pracovník THP Plavecké školy Zéva</w:t>
      </w:r>
      <w:r w:rsidR="00ED1C2B">
        <w:rPr>
          <w:sz w:val="28"/>
        </w:rPr>
        <w:t>, HK</w:t>
      </w:r>
      <w:r>
        <w:rPr>
          <w:sz w:val="28"/>
        </w:rPr>
        <w:t xml:space="preserve">. Neobsahuje-li písemná žádost </w:t>
      </w:r>
      <w:r w:rsidR="008D4359">
        <w:rPr>
          <w:sz w:val="28"/>
        </w:rPr>
        <w:t xml:space="preserve">náležitosti podle </w:t>
      </w:r>
      <w:r w:rsidR="008329B2">
        <w:rPr>
          <w:sz w:val="28"/>
        </w:rPr>
        <w:t>§ 14</w:t>
      </w:r>
      <w:r w:rsidR="008D4359">
        <w:rPr>
          <w:sz w:val="28"/>
        </w:rPr>
        <w:t xml:space="preserve"> a adresu pro doručování, případně není</w:t>
      </w:r>
      <w:r w:rsidR="00027E75">
        <w:rPr>
          <w:sz w:val="28"/>
        </w:rPr>
        <w:t xml:space="preserve"> </w:t>
      </w:r>
      <w:r w:rsidR="008D4359">
        <w:rPr>
          <w:sz w:val="28"/>
        </w:rPr>
        <w:t xml:space="preserve">-li elektronická </w:t>
      </w:r>
      <w:r w:rsidR="00027E75">
        <w:rPr>
          <w:sz w:val="28"/>
        </w:rPr>
        <w:t>žádost podána podle zákona č. 1</w:t>
      </w:r>
      <w:r w:rsidR="00D44FB0">
        <w:rPr>
          <w:sz w:val="28"/>
        </w:rPr>
        <w:t>06</w:t>
      </w:r>
      <w:r w:rsidR="00027E75">
        <w:rPr>
          <w:sz w:val="28"/>
        </w:rPr>
        <w:t xml:space="preserve">/1999 </w:t>
      </w:r>
      <w:r w:rsidR="00D44FB0">
        <w:rPr>
          <w:sz w:val="28"/>
        </w:rPr>
        <w:t>S</w:t>
      </w:r>
      <w:r w:rsidR="00027E75">
        <w:rPr>
          <w:sz w:val="28"/>
        </w:rPr>
        <w:t>b., není ve smyslu tohoto zákona.</w:t>
      </w:r>
    </w:p>
    <w:p w:rsidR="00027E75" w:rsidRDefault="00027E75">
      <w:pPr>
        <w:jc w:val="both"/>
        <w:rPr>
          <w:sz w:val="28"/>
        </w:rPr>
      </w:pPr>
    </w:p>
    <w:p w:rsidR="00027E75" w:rsidRDefault="00027E75">
      <w:pPr>
        <w:jc w:val="both"/>
        <w:rPr>
          <w:sz w:val="28"/>
        </w:rPr>
      </w:pPr>
    </w:p>
    <w:p w:rsidR="00AC338D" w:rsidRDefault="00AC338D">
      <w:pPr>
        <w:jc w:val="both"/>
        <w:rPr>
          <w:sz w:val="28"/>
        </w:rPr>
      </w:pPr>
    </w:p>
    <w:p w:rsidR="00AC338D" w:rsidRDefault="00AC338D">
      <w:pPr>
        <w:pStyle w:val="Nadpis1"/>
        <w:jc w:val="center"/>
      </w:pPr>
      <w:r>
        <w:t>II. Vyřizování písemných žádostí</w:t>
      </w:r>
      <w:r w:rsidR="005676E5">
        <w:t xml:space="preserve"> §14</w:t>
      </w:r>
    </w:p>
    <w:p w:rsidR="00AC338D" w:rsidRDefault="00AC338D">
      <w:pPr>
        <w:jc w:val="both"/>
        <w:rPr>
          <w:sz w:val="28"/>
        </w:rPr>
      </w:pPr>
    </w:p>
    <w:p w:rsidR="00AC338D" w:rsidRDefault="00AC338D">
      <w:pPr>
        <w:numPr>
          <w:ilvl w:val="0"/>
          <w:numId w:val="20"/>
        </w:numPr>
        <w:spacing w:before="60"/>
        <w:jc w:val="both"/>
        <w:rPr>
          <w:sz w:val="28"/>
        </w:rPr>
      </w:pPr>
      <w:r>
        <w:rPr>
          <w:sz w:val="28"/>
        </w:rPr>
        <w:t>Žádost je podána dnem, kdy ji obdržela Plavecká škola Zéva</w:t>
      </w:r>
      <w:r w:rsidR="00027E75">
        <w:rPr>
          <w:sz w:val="28"/>
        </w:rPr>
        <w:t>, HK</w:t>
      </w:r>
      <w:r>
        <w:rPr>
          <w:sz w:val="28"/>
        </w:rPr>
        <w:t>.</w:t>
      </w:r>
    </w:p>
    <w:p w:rsidR="00AC338D" w:rsidRDefault="00AC338D">
      <w:pPr>
        <w:numPr>
          <w:ilvl w:val="0"/>
          <w:numId w:val="20"/>
        </w:numPr>
        <w:spacing w:before="60"/>
        <w:jc w:val="both"/>
        <w:rPr>
          <w:sz w:val="28"/>
        </w:rPr>
      </w:pPr>
      <w:r>
        <w:rPr>
          <w:sz w:val="28"/>
        </w:rPr>
        <w:t>Plavecká škola Zéva</w:t>
      </w:r>
      <w:r w:rsidR="00027E75">
        <w:rPr>
          <w:sz w:val="28"/>
        </w:rPr>
        <w:t>, HK</w:t>
      </w:r>
      <w:r>
        <w:rPr>
          <w:sz w:val="28"/>
        </w:rPr>
        <w:t xml:space="preserve"> posoudí obsah žádosti a:</w:t>
      </w:r>
    </w:p>
    <w:p w:rsidR="00027E75" w:rsidRDefault="00A77AC7">
      <w:pPr>
        <w:numPr>
          <w:ilvl w:val="0"/>
          <w:numId w:val="21"/>
        </w:numPr>
        <w:spacing w:before="60"/>
        <w:jc w:val="both"/>
        <w:rPr>
          <w:sz w:val="28"/>
        </w:rPr>
      </w:pPr>
      <w:r>
        <w:rPr>
          <w:sz w:val="28"/>
        </w:rPr>
        <w:t>b</w:t>
      </w:r>
      <w:r w:rsidR="00027E75">
        <w:rPr>
          <w:sz w:val="28"/>
        </w:rPr>
        <w:t>rání-li nedostatek údajů o žadateli podle odstavce 2 postupu vyřízení žádosti o informaci podle tohoto zákona, zejména podle §14 anebo §15, vyzve žadatele ve lhůtě do 7 dnů ode dne podání žádosti, aby žádost doplnil; nevyhoví-li žadatel této výzvě do 30 dnů ode dne jejího doručení, žádost odloží,</w:t>
      </w:r>
    </w:p>
    <w:p w:rsidR="00AC338D" w:rsidRDefault="00AC338D">
      <w:pPr>
        <w:numPr>
          <w:ilvl w:val="0"/>
          <w:numId w:val="21"/>
        </w:numPr>
        <w:spacing w:before="60"/>
        <w:jc w:val="both"/>
        <w:rPr>
          <w:sz w:val="28"/>
        </w:rPr>
      </w:pPr>
      <w:r>
        <w:rPr>
          <w:sz w:val="28"/>
        </w:rPr>
        <w:t>v případě,</w:t>
      </w:r>
      <w:r w:rsidR="00A77AC7">
        <w:rPr>
          <w:sz w:val="28"/>
        </w:rPr>
        <w:t xml:space="preserve"> </w:t>
      </w:r>
      <w:r w:rsidR="00027E75">
        <w:rPr>
          <w:sz w:val="28"/>
        </w:rPr>
        <w:t>že je žádost nesrozumitelná, není zřejmé, jaká informace je požadována, nebo je formulována příliš obecně, vyzve žadatele ve lhůtě do sedmi dnů od podání žádosti, aby žádost upřesnil, neupřesní-li žadatel žádost do 30</w:t>
      </w:r>
      <w:r w:rsidR="00A77AC7">
        <w:rPr>
          <w:sz w:val="28"/>
        </w:rPr>
        <w:t xml:space="preserve"> </w:t>
      </w:r>
      <w:r w:rsidR="00027E75">
        <w:rPr>
          <w:sz w:val="28"/>
        </w:rPr>
        <w:t>dnů ode dne doručení výzvy, rozhodne o odmítnutí žádosti</w:t>
      </w:r>
      <w:r w:rsidR="00A77AC7">
        <w:rPr>
          <w:sz w:val="28"/>
        </w:rPr>
        <w:t>,</w:t>
      </w:r>
    </w:p>
    <w:p w:rsidR="00A77AC7" w:rsidRDefault="00A77AC7">
      <w:pPr>
        <w:numPr>
          <w:ilvl w:val="0"/>
          <w:numId w:val="21"/>
        </w:numPr>
        <w:spacing w:before="60"/>
        <w:jc w:val="both"/>
        <w:rPr>
          <w:sz w:val="28"/>
        </w:rPr>
      </w:pPr>
      <w:r>
        <w:rPr>
          <w:sz w:val="28"/>
        </w:rPr>
        <w:t>v případě, že požadované informace se nevztahují k jeho působnosti, žádost odloží a tuto odůvodněnou skutečnost sdělí do 7 dnů ode dne doručení žádosti žadateli,</w:t>
      </w:r>
    </w:p>
    <w:p w:rsidR="00A77AC7" w:rsidRDefault="00A77AC7">
      <w:pPr>
        <w:numPr>
          <w:ilvl w:val="0"/>
          <w:numId w:val="21"/>
        </w:numPr>
        <w:spacing w:before="60"/>
        <w:jc w:val="both"/>
        <w:rPr>
          <w:sz w:val="28"/>
        </w:rPr>
      </w:pPr>
      <w:r>
        <w:rPr>
          <w:sz w:val="28"/>
        </w:rPr>
        <w:t>nerozhodne-li podle § 15, poskytne informaci v souladu se žádostí ve lhůtě nejpozději do 15 dnů ode dne přijetí žádosti nebo ode dne jejího doplnění; je-li zapotřebí licence podle § 14a, předloží v této lhůtě žadateli konečnou licenční nabídku.</w:t>
      </w:r>
    </w:p>
    <w:p w:rsidR="00A77AC7" w:rsidRDefault="00A77AC7" w:rsidP="00A77AC7">
      <w:pPr>
        <w:numPr>
          <w:ilvl w:val="0"/>
          <w:numId w:val="20"/>
        </w:numPr>
        <w:spacing w:before="60"/>
        <w:jc w:val="both"/>
        <w:rPr>
          <w:sz w:val="28"/>
        </w:rPr>
      </w:pPr>
      <w:r>
        <w:rPr>
          <w:sz w:val="28"/>
        </w:rPr>
        <w:t>O postupu při poskytování informace se pořídí záznam.</w:t>
      </w:r>
    </w:p>
    <w:p w:rsidR="00D44FB0" w:rsidRPr="00D44FB0" w:rsidRDefault="00D44FB0" w:rsidP="00D44FB0">
      <w:pPr>
        <w:numPr>
          <w:ilvl w:val="0"/>
          <w:numId w:val="20"/>
        </w:numPr>
        <w:spacing w:before="60"/>
        <w:jc w:val="both"/>
        <w:rPr>
          <w:sz w:val="28"/>
        </w:rPr>
      </w:pPr>
      <w:r w:rsidRPr="00D44FB0">
        <w:rPr>
          <w:sz w:val="28"/>
        </w:rPr>
        <w:t xml:space="preserve">Lhůtu pro poskytnutí informace podle odstavce 5 písm. d) zákona č. 106/1999 Sb., může Plavecká škola Zéva, HK prodloužit ze závažných důvodů, nejvýše však o 10 dní. </w:t>
      </w:r>
    </w:p>
    <w:p w:rsidR="00AC338D" w:rsidRDefault="00AC338D" w:rsidP="0097772A">
      <w:pPr>
        <w:pStyle w:val="Zkladntext3"/>
        <w:ind w:firstLine="340"/>
      </w:pPr>
      <w:r>
        <w:t>Závažnými důvody jsou:</w:t>
      </w:r>
    </w:p>
    <w:p w:rsidR="00AC338D" w:rsidRDefault="00AC338D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vyhledání a sběr informací požadovaných v</w:t>
      </w:r>
      <w:r w:rsidR="0097772A">
        <w:rPr>
          <w:sz w:val="28"/>
        </w:rPr>
        <w:t> jiných úřadovnách, které jsou oddělené od úřadovny vyřizující žádost,</w:t>
      </w:r>
    </w:p>
    <w:p w:rsidR="0097772A" w:rsidRDefault="0097772A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vyhledání a sběr objemného množství oddělených a odlišných informací požadovaných v jedné žádosti,</w:t>
      </w:r>
    </w:p>
    <w:p w:rsidR="00AC338D" w:rsidRDefault="00AC338D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 xml:space="preserve">konzultace s jiným </w:t>
      </w:r>
      <w:r w:rsidR="0097772A">
        <w:rPr>
          <w:sz w:val="28"/>
        </w:rPr>
        <w:t>povinným subjektem</w:t>
      </w:r>
      <w:r>
        <w:rPr>
          <w:sz w:val="28"/>
        </w:rPr>
        <w:t>, který má závažný zájem na rozhodnutí o žádosti,</w:t>
      </w:r>
      <w:r w:rsidR="009B251E">
        <w:rPr>
          <w:sz w:val="28"/>
        </w:rPr>
        <w:t xml:space="preserve"> </w:t>
      </w:r>
      <w:r w:rsidR="0097772A">
        <w:rPr>
          <w:sz w:val="28"/>
        </w:rPr>
        <w:t>nebo mezi dvěma nebo více složkami povinného subjektu, které mají závažný zájem na předmětu žádosti.</w:t>
      </w:r>
    </w:p>
    <w:p w:rsidR="00AC338D" w:rsidRDefault="00AC338D">
      <w:pPr>
        <w:jc w:val="both"/>
        <w:rPr>
          <w:sz w:val="28"/>
        </w:rPr>
      </w:pPr>
      <w:r>
        <w:rPr>
          <w:sz w:val="28"/>
        </w:rPr>
        <w:t xml:space="preserve">Žadatel musí být o prodloužení lhůty i o jeho důvodech vždy prokazatelně informován, a to včas před uplynutím lhůty pro poskytnutí informace. </w:t>
      </w:r>
    </w:p>
    <w:p w:rsidR="00AC338D" w:rsidRDefault="00AC338D">
      <w:pPr>
        <w:jc w:val="both"/>
        <w:rPr>
          <w:sz w:val="28"/>
        </w:rPr>
      </w:pPr>
    </w:p>
    <w:p w:rsidR="00AC338D" w:rsidRDefault="00AC338D">
      <w:pPr>
        <w:jc w:val="both"/>
        <w:rPr>
          <w:sz w:val="28"/>
        </w:rPr>
      </w:pPr>
    </w:p>
    <w:p w:rsidR="00AC338D" w:rsidRDefault="00AC338D">
      <w:pPr>
        <w:pStyle w:val="Nadpis2"/>
      </w:pPr>
      <w:r>
        <w:t>III. Rozhodnutí</w:t>
      </w:r>
      <w:r w:rsidR="005676E5">
        <w:t xml:space="preserve"> </w:t>
      </w:r>
      <w:r w:rsidR="007E024F">
        <w:t xml:space="preserve">o odmítnutí </w:t>
      </w:r>
      <w:r w:rsidR="005676E5">
        <w:t>§15</w:t>
      </w:r>
    </w:p>
    <w:p w:rsidR="00AC338D" w:rsidRDefault="00AC338D">
      <w:pPr>
        <w:rPr>
          <w:sz w:val="28"/>
        </w:rPr>
      </w:pPr>
    </w:p>
    <w:p w:rsidR="004350AD" w:rsidRDefault="00AC338D">
      <w:pPr>
        <w:pStyle w:val="Zkladntext"/>
        <w:numPr>
          <w:ilvl w:val="0"/>
          <w:numId w:val="23"/>
        </w:numPr>
      </w:pPr>
      <w:r>
        <w:t>Pokud Plavecká škola Zéva</w:t>
      </w:r>
      <w:r w:rsidR="0097772A">
        <w:t xml:space="preserve">, HK žádosti, byť i jen zčásti, nevyhoví, vydá ve lhůtě pro vyřízení žádosti rozhodnutí o odmítnutí žádosti, popřípadě o </w:t>
      </w:r>
      <w:r w:rsidR="0097772A">
        <w:lastRenderedPageBreak/>
        <w:t xml:space="preserve">odmítnutí části žádosti (dále jen </w:t>
      </w:r>
      <w:r w:rsidR="004350AD">
        <w:t>„</w:t>
      </w:r>
      <w:r w:rsidR="0097772A">
        <w:t>rozhodnutí o odmítnutí žádost</w:t>
      </w:r>
      <w:r w:rsidR="004350AD">
        <w:t>i</w:t>
      </w:r>
      <w:r w:rsidR="0097772A">
        <w:t>“), s výjimkou případů, kdy se žádost</w:t>
      </w:r>
      <w:r>
        <w:t xml:space="preserve"> </w:t>
      </w:r>
      <w:r w:rsidR="0097772A">
        <w:t>odloží.</w:t>
      </w:r>
    </w:p>
    <w:p w:rsidR="00AC338D" w:rsidRDefault="00AC338D">
      <w:pPr>
        <w:pStyle w:val="Nadpis2"/>
      </w:pPr>
      <w:r>
        <w:t>IV. Odvolání</w:t>
      </w:r>
      <w:r w:rsidR="005676E5">
        <w:t xml:space="preserve"> §16</w:t>
      </w:r>
    </w:p>
    <w:p w:rsidR="00AC338D" w:rsidRDefault="00AC338D">
      <w:pPr>
        <w:pStyle w:val="Zkladntext3"/>
      </w:pPr>
    </w:p>
    <w:p w:rsidR="004350AD" w:rsidRDefault="00AC338D">
      <w:pPr>
        <w:pStyle w:val="Zkladntext3"/>
        <w:numPr>
          <w:ilvl w:val="0"/>
          <w:numId w:val="25"/>
        </w:numPr>
        <w:spacing w:before="60"/>
      </w:pPr>
      <w:r>
        <w:t xml:space="preserve">Proti rozhodnutí </w:t>
      </w:r>
      <w:r w:rsidR="004350AD">
        <w:t xml:space="preserve">Plavecké školy Zéva, HK </w:t>
      </w:r>
      <w:r>
        <w:t xml:space="preserve">o odmítnutí </w:t>
      </w:r>
      <w:r w:rsidR="004350AD">
        <w:t xml:space="preserve">žádosti </w:t>
      </w:r>
      <w:r>
        <w:t>lze podat odvolání</w:t>
      </w:r>
      <w:r w:rsidR="005676E5">
        <w:t>.</w:t>
      </w:r>
    </w:p>
    <w:p w:rsidR="00AC338D" w:rsidRDefault="004350AD">
      <w:pPr>
        <w:pStyle w:val="Zkladntext3"/>
        <w:numPr>
          <w:ilvl w:val="0"/>
          <w:numId w:val="25"/>
        </w:numPr>
        <w:spacing w:before="60"/>
      </w:pPr>
      <w:r>
        <w:t>Plavecká škola Zéva, HK předloží odvolání spolu se spisovým materiálem nadřízenému orgánu ve lhůtě 15 dnů ode dne doručení odvolání.</w:t>
      </w:r>
    </w:p>
    <w:p w:rsidR="005676E5" w:rsidRDefault="005676E5">
      <w:pPr>
        <w:pStyle w:val="Zkladntext3"/>
        <w:numPr>
          <w:ilvl w:val="0"/>
          <w:numId w:val="25"/>
        </w:numPr>
        <w:spacing w:before="60"/>
      </w:pPr>
      <w:r>
        <w:t>Nadřízený orgán rozhodne o odvolání do 15 dnů ode dne předložení odvolání Plaveckou školou Zéva, HK. Lhůta pro rozhodnutí o rozkladu je 15 pracovních dnů ode dne doručení rozkladu Plavecké škole Zéva, HK. Lhůtu nelze prodloužit.</w:t>
      </w:r>
    </w:p>
    <w:p w:rsidR="00AC338D" w:rsidRDefault="005676E5">
      <w:pPr>
        <w:pStyle w:val="Zkladntext3"/>
        <w:numPr>
          <w:ilvl w:val="0"/>
          <w:numId w:val="25"/>
        </w:numPr>
        <w:spacing w:before="60"/>
      </w:pPr>
      <w:r>
        <w:t>Při soudním přezkumu rozhodnutí o odvolání na základě žaloby podle zvláštního právního předpisu soud přezkoumá, zda jsou dány důvody pro odmítnutí žádosti. Nejsou-li žádné důvody pro odmítnutí žádosti, soud zruší rozhodnutí o odvolání a rozhodnutí Plavecké školy Zéva, HK o odmítnutí žádosti a Plavecké škole Zéva, HK nařídí požadované informace poskytnout.</w:t>
      </w:r>
      <w:r w:rsidR="00AC338D">
        <w:t xml:space="preserve"> </w:t>
      </w:r>
    </w:p>
    <w:p w:rsidR="00AC338D" w:rsidRDefault="00AC338D">
      <w:pPr>
        <w:pStyle w:val="Zkladntext3"/>
        <w:spacing w:before="60"/>
      </w:pPr>
    </w:p>
    <w:p w:rsidR="00AC338D" w:rsidRDefault="00AC338D">
      <w:pPr>
        <w:pStyle w:val="Zkladntext3"/>
      </w:pPr>
    </w:p>
    <w:p w:rsidR="00AC338D" w:rsidRDefault="00AC338D">
      <w:pPr>
        <w:pStyle w:val="Zkladntext3"/>
        <w:jc w:val="center"/>
        <w:rPr>
          <w:u w:val="single"/>
        </w:rPr>
      </w:pPr>
      <w:r>
        <w:rPr>
          <w:u w:val="single"/>
        </w:rPr>
        <w:t>V. Hrazení nákladů</w:t>
      </w:r>
      <w:r w:rsidR="007E024F">
        <w:rPr>
          <w:u w:val="single"/>
        </w:rPr>
        <w:t xml:space="preserve"> § 17</w:t>
      </w:r>
    </w:p>
    <w:p w:rsidR="00AC338D" w:rsidRDefault="00AC338D">
      <w:pPr>
        <w:pStyle w:val="Zkladntext3"/>
      </w:pPr>
    </w:p>
    <w:p w:rsidR="00AC338D" w:rsidRDefault="00AC338D">
      <w:pPr>
        <w:pStyle w:val="Zkladntext3"/>
        <w:numPr>
          <w:ilvl w:val="0"/>
          <w:numId w:val="26"/>
        </w:numPr>
        <w:spacing w:before="60"/>
        <w:ind w:left="357" w:hanging="357"/>
      </w:pPr>
      <w:r>
        <w:t>Plavecká škola Zéva</w:t>
      </w:r>
      <w:r w:rsidR="007E024F">
        <w:t>, HK</w:t>
      </w:r>
      <w:r>
        <w:t xml:space="preserve"> je v souvislosti s poskytováním informací oprávněna žádat úhradu ve výši, která nesmí přesáhnout náklady spojené s  pořízením kopií, opatřením technických nosičů dat a s odesláním informací žadateli.</w:t>
      </w:r>
      <w:r w:rsidR="007E024F">
        <w:t xml:space="preserve"> Plavecká škola Zéva, HK může vyžádat i úhradu za mimořádně rozsáhlé vyhledání informací.</w:t>
      </w:r>
    </w:p>
    <w:p w:rsidR="0030126A" w:rsidRDefault="007E024F" w:rsidP="0030126A">
      <w:pPr>
        <w:pStyle w:val="Zkladntext3"/>
        <w:numPr>
          <w:ilvl w:val="0"/>
          <w:numId w:val="26"/>
        </w:numPr>
        <w:spacing w:before="60"/>
        <w:ind w:left="357" w:hanging="357"/>
      </w:pPr>
      <w:r>
        <w:t xml:space="preserve">V případě, že bude </w:t>
      </w:r>
      <w:r w:rsidR="0030126A">
        <w:t>P</w:t>
      </w:r>
      <w:r>
        <w:t>lavecká škola Zéva, HK</w:t>
      </w:r>
      <w:r w:rsidR="0030126A">
        <w:t xml:space="preserve"> za poskytnutí informace požadovat úhradu, písemně oznámí tuto skutečnost spolu s výší úhrady žadateli před poskytnutím informace. Z oznámení musí být zřejmé, na základě jakých skutečností a jakým způsobem byla výše úhrady </w:t>
      </w:r>
      <w:r w:rsidR="00AC338D">
        <w:t>Plaveck</w:t>
      </w:r>
      <w:r w:rsidR="0030126A">
        <w:t>ou</w:t>
      </w:r>
      <w:r w:rsidR="00AC338D">
        <w:t xml:space="preserve"> škol</w:t>
      </w:r>
      <w:r w:rsidR="0030126A">
        <w:t>ou</w:t>
      </w:r>
      <w:r w:rsidR="00AC338D">
        <w:t xml:space="preserve"> Zéva</w:t>
      </w:r>
      <w:r w:rsidR="0030126A">
        <w:t>, HK vyčíslena.</w:t>
      </w:r>
      <w:r w:rsidR="00AC338D">
        <w:t xml:space="preserve"> </w:t>
      </w:r>
    </w:p>
    <w:p w:rsidR="0030126A" w:rsidRDefault="0030126A" w:rsidP="0030126A">
      <w:pPr>
        <w:pStyle w:val="Zkladntext3"/>
        <w:numPr>
          <w:ilvl w:val="0"/>
          <w:numId w:val="26"/>
        </w:numPr>
        <w:spacing w:before="60"/>
        <w:ind w:left="357" w:hanging="357"/>
      </w:pPr>
      <w:r>
        <w:t>Nesplní-li Plavecká škola Zéva, HK vůči žadateli o</w:t>
      </w:r>
      <w:r w:rsidR="00F12949">
        <w:t>znamovací povinnost dle odst. 3 § 17 výše uvedeného zákona, ztrácí nárok na úhradu nákladů.</w:t>
      </w:r>
    </w:p>
    <w:p w:rsidR="00F12949" w:rsidRDefault="00A47424" w:rsidP="0030126A">
      <w:pPr>
        <w:pStyle w:val="Zkladntext3"/>
        <w:numPr>
          <w:ilvl w:val="0"/>
          <w:numId w:val="26"/>
        </w:numPr>
        <w:spacing w:before="60"/>
        <w:ind w:left="357" w:hanging="357"/>
      </w:pPr>
      <w:r>
        <w:t>Poskytnutí informace podle odstavce 3 je podmíněno zaplacením požadované úhrady. Pokud žadatel do 60 dnů ode dne</w:t>
      </w:r>
      <w:r w:rsidR="006D7484">
        <w:t xml:space="preserve"> oznámení výše </w:t>
      </w:r>
      <w:proofErr w:type="gramStart"/>
      <w:r w:rsidR="006D7484">
        <w:t xml:space="preserve">požadovanou </w:t>
      </w:r>
      <w:r>
        <w:t xml:space="preserve"> úhradu</w:t>
      </w:r>
      <w:proofErr w:type="gramEnd"/>
      <w:r w:rsidR="008329B2">
        <w:t xml:space="preserve"> </w:t>
      </w:r>
      <w:r>
        <w:t>nezaplatí, Plavecká škola Zéva, HK žádost odloží. Po dobu vyřizování stížnosti proti výši požadované úhrady lhůta podle věty druhé neběží.</w:t>
      </w:r>
    </w:p>
    <w:p w:rsidR="00A47424" w:rsidRDefault="00AC338D" w:rsidP="0030126A">
      <w:pPr>
        <w:pStyle w:val="Zkladntext3"/>
        <w:numPr>
          <w:ilvl w:val="0"/>
          <w:numId w:val="26"/>
        </w:numPr>
        <w:spacing w:before="60"/>
        <w:ind w:left="357" w:hanging="357"/>
      </w:pPr>
      <w:r>
        <w:t>Úhrada je příjmem Plavecké školy Zéva</w:t>
      </w:r>
      <w:r w:rsidR="00A47424">
        <w:t>, HK</w:t>
      </w:r>
    </w:p>
    <w:p w:rsidR="006D7484" w:rsidRDefault="006D7484" w:rsidP="006D7484">
      <w:pPr>
        <w:pStyle w:val="Zkladntext3"/>
        <w:spacing w:before="60"/>
        <w:ind w:left="357"/>
      </w:pPr>
    </w:p>
    <w:p w:rsidR="00A47424" w:rsidRDefault="00A47424" w:rsidP="00A47424">
      <w:pPr>
        <w:pStyle w:val="Zkladntext3"/>
        <w:spacing w:before="60"/>
        <w:ind w:left="357"/>
      </w:pPr>
    </w:p>
    <w:p w:rsidR="00AC338D" w:rsidRDefault="00AC338D" w:rsidP="00A47424">
      <w:pPr>
        <w:pStyle w:val="Zkladntext3"/>
        <w:spacing w:before="60"/>
        <w:ind w:left="357"/>
      </w:pPr>
      <w:r>
        <w:lastRenderedPageBreak/>
        <w:t>.</w:t>
      </w:r>
    </w:p>
    <w:p w:rsidR="00AC338D" w:rsidRDefault="00AC338D">
      <w:pPr>
        <w:pStyle w:val="Zkladntext3"/>
      </w:pPr>
    </w:p>
    <w:p w:rsidR="00AC338D" w:rsidRDefault="00AC338D">
      <w:pPr>
        <w:pStyle w:val="Zkladntext3"/>
        <w:jc w:val="center"/>
        <w:rPr>
          <w:u w:val="single"/>
        </w:rPr>
      </w:pPr>
    </w:p>
    <w:p w:rsidR="00AC338D" w:rsidRDefault="00AC338D">
      <w:pPr>
        <w:pStyle w:val="Zkladntext3"/>
        <w:jc w:val="center"/>
        <w:rPr>
          <w:u w:val="single"/>
        </w:rPr>
      </w:pPr>
      <w:r>
        <w:rPr>
          <w:u w:val="single"/>
        </w:rPr>
        <w:t>VI. Odkaz na zveřejněnou informaci</w:t>
      </w:r>
    </w:p>
    <w:p w:rsidR="00AC338D" w:rsidRDefault="00AC338D">
      <w:pPr>
        <w:pStyle w:val="Zkladntext3"/>
      </w:pPr>
    </w:p>
    <w:p w:rsidR="00AC338D" w:rsidRDefault="00AC338D">
      <w:pPr>
        <w:pStyle w:val="Zkladntext3"/>
        <w:numPr>
          <w:ilvl w:val="0"/>
          <w:numId w:val="27"/>
        </w:numPr>
        <w:spacing w:before="60"/>
      </w:pPr>
      <w:r>
        <w:t>Pokud žádost směřuje k poskytnutí zveřejněné informace, může Plavecká škola Zéva</w:t>
      </w:r>
      <w:r w:rsidR="00A47424">
        <w:t>, HK</w:t>
      </w:r>
      <w:r>
        <w:t xml:space="preserve"> co nejdříve, nejpozději však do sedmi dnů, místo poskytnutí informace sdělit žadateli údaje umožňující vyhledání a získání zveřejněné informace.</w:t>
      </w:r>
    </w:p>
    <w:p w:rsidR="00AC338D" w:rsidRDefault="00AC338D">
      <w:pPr>
        <w:pStyle w:val="Zkladntext3"/>
        <w:numPr>
          <w:ilvl w:val="0"/>
          <w:numId w:val="27"/>
        </w:numPr>
        <w:spacing w:before="60"/>
      </w:pPr>
      <w:r>
        <w:t>Pokud žadatel trvá na přímém poskytnutí zveřejněné informace, Plavecká škola Zéva</w:t>
      </w:r>
      <w:r w:rsidR="00A47424">
        <w:t xml:space="preserve">, HK </w:t>
      </w:r>
      <w:r>
        <w:t>mu ji poskytne.</w:t>
      </w: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6D7484" w:rsidRDefault="006D7484" w:rsidP="006D7484">
      <w:pPr>
        <w:pStyle w:val="Zkladntext3"/>
        <w:spacing w:before="60"/>
      </w:pPr>
    </w:p>
    <w:p w:rsidR="00AC338D" w:rsidRDefault="00AC338D">
      <w:pPr>
        <w:pStyle w:val="Zkladntext3"/>
        <w:spacing w:before="60"/>
        <w:jc w:val="left"/>
      </w:pPr>
    </w:p>
    <w:p w:rsidR="00AC338D" w:rsidRDefault="00AC338D">
      <w:pPr>
        <w:pStyle w:val="Zkladntext3"/>
        <w:spacing w:before="60"/>
        <w:jc w:val="left"/>
      </w:pPr>
    </w:p>
    <w:p w:rsidR="00A47424" w:rsidRDefault="00AC338D">
      <w:pPr>
        <w:pStyle w:val="Zkladntext3"/>
        <w:spacing w:before="60"/>
        <w:ind w:left="4956"/>
        <w:jc w:val="left"/>
      </w:pPr>
      <w:r>
        <w:t xml:space="preserve">Soňa </w:t>
      </w:r>
      <w:proofErr w:type="spellStart"/>
      <w:r>
        <w:t>Kejzlarová</w:t>
      </w:r>
      <w:proofErr w:type="spellEnd"/>
      <w:r>
        <w:t>, ředitelka</w:t>
      </w:r>
    </w:p>
    <w:p w:rsidR="00A47424" w:rsidRDefault="00A47424">
      <w:pPr>
        <w:pStyle w:val="Zkladntext3"/>
        <w:spacing w:before="60"/>
        <w:ind w:left="4956"/>
        <w:jc w:val="left"/>
      </w:pPr>
      <w:r>
        <w:t xml:space="preserve">Plavecké školy Zéva, </w:t>
      </w:r>
    </w:p>
    <w:p w:rsidR="00AC338D" w:rsidRDefault="00A47424">
      <w:pPr>
        <w:pStyle w:val="Zkladntext3"/>
        <w:spacing w:before="60"/>
        <w:ind w:left="4956"/>
        <w:jc w:val="left"/>
      </w:pPr>
      <w:r>
        <w:t>Hradec Králové, Eliščino nábř. 842</w:t>
      </w:r>
      <w:r w:rsidR="00AC338D">
        <w:t xml:space="preserve"> </w:t>
      </w: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>
      <w:pPr>
        <w:pStyle w:val="Zkladntext3"/>
        <w:spacing w:before="60"/>
        <w:ind w:left="4956"/>
        <w:jc w:val="left"/>
      </w:pPr>
    </w:p>
    <w:p w:rsidR="006D7484" w:rsidRDefault="006D7484" w:rsidP="006D7484">
      <w:pPr>
        <w:tabs>
          <w:tab w:val="right" w:pos="10260"/>
        </w:tabs>
        <w:jc w:val="center"/>
      </w:pPr>
      <w:r>
        <w:lastRenderedPageBreak/>
        <w:t>Plavecká škola Zéva, Hradec Králové, Eliščino nábř.842, 500 03 Hradec Králové, IČO:674 40 576</w:t>
      </w:r>
    </w:p>
    <w:p w:rsidR="006D7484" w:rsidRDefault="006D7484" w:rsidP="006D7484">
      <w:pPr>
        <w:tabs>
          <w:tab w:val="right" w:pos="10260"/>
        </w:tabs>
        <w:jc w:val="center"/>
      </w:pPr>
      <w:r>
        <w:t>zřizovatel – Královéhradecký kraj; zřizovací listina č. j.14687/SM/2009 příspěvkové organizace.</w:t>
      </w:r>
    </w:p>
    <w:sectPr w:rsidR="006D7484" w:rsidSect="00DC272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36" w:rsidRDefault="00537D36">
      <w:r>
        <w:separator/>
      </w:r>
    </w:p>
  </w:endnote>
  <w:endnote w:type="continuationSeparator" w:id="0">
    <w:p w:rsidR="00537D36" w:rsidRDefault="0053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Univers Extended">
    <w:altName w:val="Arial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36" w:rsidRDefault="00537D36">
      <w:r>
        <w:separator/>
      </w:r>
    </w:p>
  </w:footnote>
  <w:footnote w:type="continuationSeparator" w:id="0">
    <w:p w:rsidR="00537D36" w:rsidRDefault="0053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1E0"/>
    </w:tblPr>
    <w:tblGrid>
      <w:gridCol w:w="2988"/>
      <w:gridCol w:w="720"/>
      <w:gridCol w:w="2397"/>
      <w:gridCol w:w="719"/>
      <w:gridCol w:w="2444"/>
    </w:tblGrid>
    <w:tr w:rsidR="00DC2723" w:rsidTr="00BF115F">
      <w:trPr>
        <w:trHeight w:val="905"/>
        <w:jc w:val="center"/>
      </w:trPr>
      <w:tc>
        <w:tcPr>
          <w:tcW w:w="2988" w:type="dxa"/>
          <w:vMerge w:val="restart"/>
          <w:hideMark/>
        </w:tcPr>
        <w:p w:rsidR="00DC2723" w:rsidRDefault="004F1AB7" w:rsidP="00BF115F">
          <w:pPr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392555" cy="1042035"/>
                <wp:effectExtent l="19050" t="0" r="0" b="0"/>
                <wp:docPr id="1" name="obrázek 1" descr="p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vAlign w:val="center"/>
          <w:hideMark/>
        </w:tcPr>
        <w:p w:rsidR="00DC2723" w:rsidRDefault="00DC2723" w:rsidP="00BF115F">
          <w:pPr>
            <w:rPr>
              <w:sz w:val="24"/>
              <w:szCs w:val="24"/>
            </w:rPr>
          </w:pPr>
          <w:r>
            <w:rPr>
              <w:rStyle w:val="StylWingdingsSymbol26b"/>
            </w:rPr>
            <w:sym w:font="Wingdings" w:char="002B"/>
          </w:r>
        </w:p>
      </w:tc>
      <w:tc>
        <w:tcPr>
          <w:tcW w:w="2397" w:type="dxa"/>
          <w:vAlign w:val="bottom"/>
          <w:hideMark/>
        </w:tcPr>
        <w:p w:rsidR="00DC2723" w:rsidRDefault="00DC2723" w:rsidP="00BF115F">
          <w:pPr>
            <w:rPr>
              <w:rFonts w:ascii="Arial Narrow" w:hAnsi="Arial Narrow"/>
              <w:szCs w:val="24"/>
            </w:rPr>
          </w:pPr>
          <w:smartTag w:uri="urn:schemas-microsoft-com:office:smarttags" w:element="PersonName">
            <w:smartTagPr>
              <w:attr w:name="ProductID" w:val="Plavecká škola"/>
            </w:smartTagPr>
            <w:r>
              <w:rPr>
                <w:rFonts w:ascii="Arial Narrow" w:hAnsi="Arial Narrow"/>
              </w:rPr>
              <w:t>Plavecká škola</w:t>
            </w:r>
          </w:smartTag>
          <w:r>
            <w:rPr>
              <w:rFonts w:ascii="Arial Narrow" w:hAnsi="Arial Narrow"/>
            </w:rPr>
            <w:t xml:space="preserve"> Zéva,</w:t>
          </w:r>
        </w:p>
        <w:p w:rsidR="00DC2723" w:rsidRDefault="00DC2723" w:rsidP="00BF115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Hradec Králové,</w:t>
          </w:r>
        </w:p>
        <w:p w:rsidR="00DC2723" w:rsidRDefault="00DC2723" w:rsidP="00BF115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Eliščino nábř.842</w:t>
          </w:r>
        </w:p>
        <w:p w:rsidR="00DC2723" w:rsidRDefault="00DC2723" w:rsidP="00BF115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500 03 Hradec Králové</w:t>
          </w:r>
        </w:p>
        <w:p w:rsidR="00DC2723" w:rsidRDefault="00DC2723" w:rsidP="00BF115F">
          <w:pPr>
            <w:rPr>
              <w:rFonts w:ascii="Arial Narrow" w:hAnsi="Arial Narrow"/>
            </w:rPr>
          </w:pPr>
        </w:p>
        <w:p w:rsidR="00DC2723" w:rsidRDefault="00DC2723" w:rsidP="00BF115F">
          <w:pPr>
            <w:rPr>
              <w:sz w:val="24"/>
              <w:szCs w:val="24"/>
            </w:rPr>
          </w:pPr>
          <w:r>
            <w:rPr>
              <w:rFonts w:ascii="Arial Narrow" w:hAnsi="Arial Narrow"/>
            </w:rPr>
            <w:t>IČO 67440576</w:t>
          </w:r>
        </w:p>
      </w:tc>
      <w:tc>
        <w:tcPr>
          <w:tcW w:w="719" w:type="dxa"/>
          <w:vAlign w:val="center"/>
          <w:hideMark/>
        </w:tcPr>
        <w:p w:rsidR="00DC2723" w:rsidRDefault="00DC2723" w:rsidP="00BF115F">
          <w:pPr>
            <w:rPr>
              <w:sz w:val="24"/>
              <w:szCs w:val="24"/>
            </w:rPr>
          </w:pPr>
          <w:r>
            <w:rPr>
              <w:rStyle w:val="StylWingdingsSymbol26b"/>
            </w:rPr>
            <w:sym w:font="Wingdings" w:char="0028"/>
          </w:r>
        </w:p>
      </w:tc>
      <w:tc>
        <w:tcPr>
          <w:tcW w:w="2444" w:type="dxa"/>
          <w:vAlign w:val="center"/>
          <w:hideMark/>
        </w:tcPr>
        <w:p w:rsidR="00DC2723" w:rsidRDefault="00DC2723" w:rsidP="00BF115F">
          <w:pPr>
            <w:rPr>
              <w:rFonts w:ascii="Arial Narrow" w:hAnsi="Arial Narrow"/>
            </w:rPr>
          </w:pPr>
        </w:p>
        <w:p w:rsidR="00DC2723" w:rsidRDefault="00DC2723" w:rsidP="00BF115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603 412 008</w:t>
          </w:r>
        </w:p>
        <w:p w:rsidR="00DC2723" w:rsidRDefault="00DC2723" w:rsidP="00BF115F">
          <w:pPr>
            <w:rPr>
              <w:rFonts w:ascii="Arial Narrow" w:hAnsi="Arial Narrow"/>
              <w:szCs w:val="24"/>
            </w:rPr>
          </w:pPr>
        </w:p>
      </w:tc>
    </w:tr>
    <w:tr w:rsidR="00DC2723" w:rsidTr="00BF115F">
      <w:trPr>
        <w:trHeight w:val="174"/>
        <w:jc w:val="center"/>
      </w:trPr>
      <w:tc>
        <w:tcPr>
          <w:tcW w:w="2988" w:type="dxa"/>
          <w:vMerge/>
          <w:vAlign w:val="center"/>
          <w:hideMark/>
        </w:tcPr>
        <w:p w:rsidR="00DC2723" w:rsidRDefault="00DC2723" w:rsidP="00BF115F">
          <w:pPr>
            <w:rPr>
              <w:sz w:val="24"/>
              <w:szCs w:val="24"/>
            </w:rPr>
          </w:pPr>
        </w:p>
      </w:tc>
      <w:tc>
        <w:tcPr>
          <w:tcW w:w="720" w:type="dxa"/>
        </w:tcPr>
        <w:p w:rsidR="00DC2723" w:rsidRDefault="00DC2723" w:rsidP="00BF115F">
          <w:pPr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2397" w:type="dxa"/>
        </w:tcPr>
        <w:p w:rsidR="00DC2723" w:rsidRDefault="00DC2723" w:rsidP="00BF115F">
          <w:pPr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719" w:type="dxa"/>
        </w:tcPr>
        <w:p w:rsidR="00DC2723" w:rsidRDefault="00DC2723" w:rsidP="00BF115F">
          <w:pPr>
            <w:rPr>
              <w:rFonts w:ascii="Arial Narrow" w:hAnsi="Arial Narrow"/>
              <w:sz w:val="2"/>
              <w:szCs w:val="2"/>
            </w:rPr>
          </w:pPr>
        </w:p>
      </w:tc>
      <w:tc>
        <w:tcPr>
          <w:tcW w:w="2444" w:type="dxa"/>
        </w:tcPr>
        <w:p w:rsidR="00DC2723" w:rsidRDefault="00DC2723" w:rsidP="00BF115F">
          <w:pPr>
            <w:rPr>
              <w:rFonts w:ascii="Arial Narrow" w:hAnsi="Arial Narrow"/>
              <w:sz w:val="2"/>
              <w:szCs w:val="2"/>
            </w:rPr>
          </w:pPr>
        </w:p>
      </w:tc>
    </w:tr>
    <w:tr w:rsidR="00DC2723" w:rsidTr="00BF115F">
      <w:trPr>
        <w:trHeight w:val="670"/>
        <w:jc w:val="center"/>
      </w:trPr>
      <w:tc>
        <w:tcPr>
          <w:tcW w:w="2988" w:type="dxa"/>
          <w:vMerge/>
          <w:vAlign w:val="center"/>
          <w:hideMark/>
        </w:tcPr>
        <w:p w:rsidR="00DC2723" w:rsidRDefault="00DC2723" w:rsidP="00BF115F">
          <w:pPr>
            <w:rPr>
              <w:sz w:val="24"/>
              <w:szCs w:val="24"/>
            </w:rPr>
          </w:pPr>
        </w:p>
      </w:tc>
      <w:tc>
        <w:tcPr>
          <w:tcW w:w="720" w:type="dxa"/>
          <w:hideMark/>
        </w:tcPr>
        <w:p w:rsidR="00DC2723" w:rsidRDefault="00DC2723" w:rsidP="00BF115F">
          <w:pPr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7" w:type="dxa"/>
          <w:hideMark/>
        </w:tcPr>
        <w:p w:rsidR="00DC2723" w:rsidRDefault="00176E45" w:rsidP="00BF115F">
          <w:pPr>
            <w:rPr>
              <w:rFonts w:ascii="Arial Narrow" w:hAnsi="Arial Narrow"/>
              <w:szCs w:val="24"/>
            </w:rPr>
          </w:pPr>
          <w:hyperlink r:id="rId2" w:history="1">
            <w:r w:rsidR="00DC2723" w:rsidRPr="00B56FC8">
              <w:rPr>
                <w:rStyle w:val="Hypertextovodkaz"/>
                <w:rFonts w:ascii="Arial Narrow" w:hAnsi="Arial Narrow"/>
                <w:szCs w:val="24"/>
              </w:rPr>
              <w:t>thp@zeva.cz</w:t>
            </w:r>
          </w:hyperlink>
        </w:p>
        <w:p w:rsidR="00DC2723" w:rsidRDefault="00DC2723" w:rsidP="00BF115F">
          <w:pPr>
            <w:rPr>
              <w:rFonts w:ascii="Arial Narrow" w:hAnsi="Arial Narrow"/>
              <w:szCs w:val="24"/>
            </w:rPr>
          </w:pPr>
        </w:p>
      </w:tc>
      <w:tc>
        <w:tcPr>
          <w:tcW w:w="719" w:type="dxa"/>
          <w:hideMark/>
        </w:tcPr>
        <w:p w:rsidR="00DC2723" w:rsidRDefault="00DC2723" w:rsidP="00BF115F">
          <w:pPr>
            <w:jc w:val="right"/>
            <w:rPr>
              <w:rFonts w:ascii="Arial Narrow" w:hAnsi="Arial Narrow"/>
              <w:szCs w:val="24"/>
            </w:rPr>
          </w:pP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hideMark/>
        </w:tcPr>
        <w:p w:rsidR="00DC2723" w:rsidRDefault="00176E45" w:rsidP="00BF115F">
          <w:pPr>
            <w:rPr>
              <w:rStyle w:val="Hypertextovodkaz"/>
            </w:rPr>
          </w:pPr>
          <w:hyperlink r:id="rId3" w:history="1">
            <w:r w:rsidR="00DC2723">
              <w:rPr>
                <w:rStyle w:val="Hypertextovodkaz"/>
                <w:rFonts w:ascii="Arial Narrow" w:hAnsi="Arial Narrow"/>
              </w:rPr>
              <w:t>http://www.zeva.cz</w:t>
            </w:r>
          </w:hyperlink>
        </w:p>
        <w:p w:rsidR="00DC2723" w:rsidRDefault="00DC2723" w:rsidP="00BF115F">
          <w:pPr>
            <w:rPr>
              <w:rFonts w:ascii="Arial Narrow" w:hAnsi="Arial Narrow"/>
              <w:szCs w:val="24"/>
            </w:rPr>
          </w:pPr>
        </w:p>
      </w:tc>
    </w:tr>
  </w:tbl>
  <w:p w:rsidR="009C2172" w:rsidRDefault="009C217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582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EE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962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05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8AD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582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D4AC8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A64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8E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F8F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4A8B"/>
    <w:multiLevelType w:val="singleLevel"/>
    <w:tmpl w:val="8856EC1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sz w:val="28"/>
      </w:rPr>
    </w:lvl>
  </w:abstractNum>
  <w:abstractNum w:abstractNumId="11">
    <w:nsid w:val="04E44E8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3E1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6057369"/>
    <w:multiLevelType w:val="singleLevel"/>
    <w:tmpl w:val="EC0C24AA"/>
    <w:lvl w:ilvl="0">
      <w:start w:val="1"/>
      <w:numFmt w:val="lowerLetter"/>
      <w:lvlText w:val="%1)"/>
      <w:lvlJc w:val="left"/>
      <w:pPr>
        <w:tabs>
          <w:tab w:val="num" w:pos="814"/>
        </w:tabs>
        <w:ind w:left="454" w:firstLine="0"/>
      </w:pPr>
      <w:rPr>
        <w:sz w:val="28"/>
      </w:rPr>
    </w:lvl>
  </w:abstractNum>
  <w:abstractNum w:abstractNumId="14">
    <w:nsid w:val="170A20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C041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4FD49EA"/>
    <w:multiLevelType w:val="singleLevel"/>
    <w:tmpl w:val="C89489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5881E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A212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757F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AC7050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AB510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39D97B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BAB47EE"/>
    <w:multiLevelType w:val="singleLevel"/>
    <w:tmpl w:val="DA10114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4">
    <w:nsid w:val="43FE2E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2722C0"/>
    <w:multiLevelType w:val="singleLevel"/>
    <w:tmpl w:val="98E2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8413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1D3C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9A85CBB"/>
    <w:multiLevelType w:val="singleLevel"/>
    <w:tmpl w:val="98E2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3843FE"/>
    <w:multiLevelType w:val="singleLevel"/>
    <w:tmpl w:val="394A35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5EF1059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68584DD6"/>
    <w:multiLevelType w:val="singleLevel"/>
    <w:tmpl w:val="98E2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C51915"/>
    <w:multiLevelType w:val="singleLevel"/>
    <w:tmpl w:val="8856EC1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sz w:val="28"/>
      </w:rPr>
    </w:lvl>
  </w:abstractNum>
  <w:abstractNum w:abstractNumId="33">
    <w:nsid w:val="70122A78"/>
    <w:multiLevelType w:val="singleLevel"/>
    <w:tmpl w:val="EEE8DB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8"/>
      </w:rPr>
    </w:lvl>
  </w:abstractNum>
  <w:abstractNum w:abstractNumId="34">
    <w:nsid w:val="7A753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642A8F"/>
    <w:multiLevelType w:val="singleLevel"/>
    <w:tmpl w:val="3A564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28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25"/>
  </w:num>
  <w:num w:numId="19">
    <w:abstractNumId w:val="13"/>
  </w:num>
  <w:num w:numId="20">
    <w:abstractNumId w:val="34"/>
  </w:num>
  <w:num w:numId="21">
    <w:abstractNumId w:val="32"/>
  </w:num>
  <w:num w:numId="22">
    <w:abstractNumId w:val="10"/>
  </w:num>
  <w:num w:numId="23">
    <w:abstractNumId w:val="12"/>
  </w:num>
  <w:num w:numId="24">
    <w:abstractNumId w:val="33"/>
  </w:num>
  <w:num w:numId="25">
    <w:abstractNumId w:val="22"/>
  </w:num>
  <w:num w:numId="26">
    <w:abstractNumId w:val="26"/>
  </w:num>
  <w:num w:numId="27">
    <w:abstractNumId w:val="17"/>
  </w:num>
  <w:num w:numId="28">
    <w:abstractNumId w:val="23"/>
  </w:num>
  <w:num w:numId="29">
    <w:abstractNumId w:val="24"/>
  </w:num>
  <w:num w:numId="30">
    <w:abstractNumId w:val="20"/>
  </w:num>
  <w:num w:numId="31">
    <w:abstractNumId w:val="11"/>
  </w:num>
  <w:num w:numId="32">
    <w:abstractNumId w:val="27"/>
  </w:num>
  <w:num w:numId="33">
    <w:abstractNumId w:val="29"/>
  </w:num>
  <w:num w:numId="34">
    <w:abstractNumId w:val="35"/>
  </w:num>
  <w:num w:numId="35">
    <w:abstractNumId w:val="1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81C"/>
    <w:rsid w:val="00026E37"/>
    <w:rsid w:val="00027E75"/>
    <w:rsid w:val="000B7D04"/>
    <w:rsid w:val="00176E45"/>
    <w:rsid w:val="00225521"/>
    <w:rsid w:val="002C17D0"/>
    <w:rsid w:val="0030126A"/>
    <w:rsid w:val="003862F8"/>
    <w:rsid w:val="003A0A8D"/>
    <w:rsid w:val="004350AD"/>
    <w:rsid w:val="00494BFE"/>
    <w:rsid w:val="004F1AB7"/>
    <w:rsid w:val="005042B8"/>
    <w:rsid w:val="005268A4"/>
    <w:rsid w:val="00537D36"/>
    <w:rsid w:val="00546F58"/>
    <w:rsid w:val="005676E5"/>
    <w:rsid w:val="00616801"/>
    <w:rsid w:val="00647CCA"/>
    <w:rsid w:val="006D7484"/>
    <w:rsid w:val="006F3C72"/>
    <w:rsid w:val="007526A3"/>
    <w:rsid w:val="007E024F"/>
    <w:rsid w:val="008329B2"/>
    <w:rsid w:val="008B381C"/>
    <w:rsid w:val="008D4359"/>
    <w:rsid w:val="00921BA8"/>
    <w:rsid w:val="0097772A"/>
    <w:rsid w:val="009B251E"/>
    <w:rsid w:val="009C2172"/>
    <w:rsid w:val="00A47424"/>
    <w:rsid w:val="00A623A4"/>
    <w:rsid w:val="00A77AC7"/>
    <w:rsid w:val="00AC338D"/>
    <w:rsid w:val="00BF115F"/>
    <w:rsid w:val="00D44FB0"/>
    <w:rsid w:val="00DC2723"/>
    <w:rsid w:val="00E359BD"/>
    <w:rsid w:val="00ED1C2B"/>
    <w:rsid w:val="00F12949"/>
    <w:rsid w:val="00F8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E45"/>
  </w:style>
  <w:style w:type="paragraph" w:styleId="Nadpis1">
    <w:name w:val="heading 1"/>
    <w:basedOn w:val="Normln"/>
    <w:next w:val="Normln"/>
    <w:qFormat/>
    <w:rsid w:val="00176E45"/>
    <w:pPr>
      <w:keepNext/>
      <w:jc w:val="both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qFormat/>
    <w:rsid w:val="00176E45"/>
    <w:pPr>
      <w:keepNext/>
      <w:jc w:val="center"/>
      <w:outlineLvl w:val="1"/>
    </w:pPr>
    <w:rPr>
      <w:sz w:val="28"/>
      <w:u w:val="single"/>
    </w:rPr>
  </w:style>
  <w:style w:type="paragraph" w:styleId="Nadpis4">
    <w:name w:val="heading 4"/>
    <w:basedOn w:val="Normln"/>
    <w:next w:val="Normln"/>
    <w:qFormat/>
    <w:rsid w:val="00176E45"/>
    <w:pPr>
      <w:keepNext/>
      <w:jc w:val="center"/>
      <w:outlineLvl w:val="3"/>
    </w:pPr>
    <w:rPr>
      <w:rFonts w:ascii="Univers Extended" w:hAnsi="Univers Extended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76E45"/>
    <w:rPr>
      <w:sz w:val="28"/>
    </w:rPr>
  </w:style>
  <w:style w:type="paragraph" w:styleId="Nzev">
    <w:name w:val="Title"/>
    <w:basedOn w:val="Normln"/>
    <w:qFormat/>
    <w:rsid w:val="00176E45"/>
    <w:pPr>
      <w:jc w:val="center"/>
    </w:pPr>
    <w:rPr>
      <w:b/>
      <w:spacing w:val="160"/>
      <w:sz w:val="36"/>
    </w:rPr>
  </w:style>
  <w:style w:type="paragraph" w:styleId="Podtitul">
    <w:name w:val="Subtitle"/>
    <w:basedOn w:val="Normln"/>
    <w:qFormat/>
    <w:rsid w:val="00176E45"/>
    <w:pPr>
      <w:jc w:val="center"/>
    </w:pPr>
    <w:rPr>
      <w:b/>
      <w:caps/>
      <w:sz w:val="40"/>
    </w:rPr>
  </w:style>
  <w:style w:type="paragraph" w:styleId="Zkladntext2">
    <w:name w:val="Body Text 2"/>
    <w:basedOn w:val="Normln"/>
    <w:semiHidden/>
    <w:rsid w:val="00176E45"/>
    <w:pPr>
      <w:jc w:val="both"/>
    </w:pPr>
    <w:rPr>
      <w:b/>
      <w:sz w:val="28"/>
    </w:rPr>
  </w:style>
  <w:style w:type="paragraph" w:styleId="Zkladntext3">
    <w:name w:val="Body Text 3"/>
    <w:basedOn w:val="Normln"/>
    <w:semiHidden/>
    <w:rsid w:val="00176E45"/>
    <w:pPr>
      <w:jc w:val="both"/>
    </w:pPr>
    <w:rPr>
      <w:sz w:val="28"/>
    </w:rPr>
  </w:style>
  <w:style w:type="paragraph" w:styleId="Seznamsodrkami3">
    <w:name w:val="List Bullet 3"/>
    <w:basedOn w:val="Normln"/>
    <w:autoRedefine/>
    <w:semiHidden/>
    <w:rsid w:val="00176E45"/>
    <w:pPr>
      <w:numPr>
        <w:numId w:val="14"/>
      </w:numPr>
    </w:pPr>
  </w:style>
  <w:style w:type="paragraph" w:styleId="Seznam4">
    <w:name w:val="List 4"/>
    <w:basedOn w:val="Normln"/>
    <w:semiHidden/>
    <w:rsid w:val="00176E45"/>
    <w:pPr>
      <w:ind w:left="1132" w:hanging="283"/>
    </w:pPr>
  </w:style>
  <w:style w:type="paragraph" w:styleId="Zhlav">
    <w:name w:val="header"/>
    <w:basedOn w:val="Normln"/>
    <w:link w:val="ZhlavChar"/>
    <w:uiPriority w:val="99"/>
    <w:rsid w:val="00176E4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76E45"/>
  </w:style>
  <w:style w:type="paragraph" w:styleId="Zpat">
    <w:name w:val="footer"/>
    <w:basedOn w:val="Normln"/>
    <w:semiHidden/>
    <w:rsid w:val="00176E4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nhideWhenUsed/>
    <w:rsid w:val="009C2172"/>
    <w:rPr>
      <w:color w:val="0000FF"/>
      <w:u w:val="single"/>
    </w:rPr>
  </w:style>
  <w:style w:type="character" w:customStyle="1" w:styleId="StylWingdingsSymbol26b">
    <w:name w:val="Styl Wingdings (Symbol) 26 b."/>
    <w:basedOn w:val="Standardnpsmoodstavce"/>
    <w:rsid w:val="009C2172"/>
    <w:rPr>
      <w:rFonts w:ascii="Wingdings" w:hAnsi="Wingdings" w:hint="default"/>
      <w:sz w:val="44"/>
    </w:rPr>
  </w:style>
  <w:style w:type="character" w:customStyle="1" w:styleId="ZhlavChar">
    <w:name w:val="Záhlaví Char"/>
    <w:basedOn w:val="Standardnpsmoodstavce"/>
    <w:link w:val="Zhlav"/>
    <w:uiPriority w:val="99"/>
    <w:rsid w:val="00DC2723"/>
  </w:style>
  <w:style w:type="paragraph" w:styleId="Textbubliny">
    <w:name w:val="Balloon Text"/>
    <w:basedOn w:val="Normln"/>
    <w:link w:val="TextbublinyChar"/>
    <w:uiPriority w:val="99"/>
    <w:semiHidden/>
    <w:unhideWhenUsed/>
    <w:rsid w:val="00DC2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va.cz/" TargetMode="External"/><Relationship Id="rId2" Type="http://schemas.openxmlformats.org/officeDocument/2006/relationships/hyperlink" Target="mailto:thp@ze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8B5B-299D-4E5B-BCBA-7C3D1D6D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Inf_postup</vt:lpstr>
    </vt:vector>
  </TitlesOfParts>
  <Company>Plavecká škola Zéva</Company>
  <LinksUpToDate>false</LinksUpToDate>
  <CharactersWithSpaces>6435</CharactersWithSpaces>
  <SharedDoc>false</SharedDoc>
  <HLinks>
    <vt:vector size="12" baseType="variant"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http://www.zeva.cz/</vt:lpwstr>
      </vt:variant>
      <vt:variant>
        <vt:lpwstr/>
      </vt:variant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mailto:thp@zeva.cz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Inf_postup</dc:title>
  <dc:creator>Soňa Kejzlarová</dc:creator>
  <cp:lastModifiedBy>Zástupce</cp:lastModifiedBy>
  <cp:revision>4</cp:revision>
  <cp:lastPrinted>2013-03-19T12:21:00Z</cp:lastPrinted>
  <dcterms:created xsi:type="dcterms:W3CDTF">2013-03-26T12:19:00Z</dcterms:created>
  <dcterms:modified xsi:type="dcterms:W3CDTF">2016-11-25T06:35:00Z</dcterms:modified>
</cp:coreProperties>
</file>